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340" w:rsidRPr="001C7A93" w:rsidRDefault="00C55340" w:rsidP="001C7A93">
      <w:pPr>
        <w:pStyle w:val="a5"/>
        <w:widowControl/>
        <w:tabs>
          <w:tab w:val="left" w:pos="360"/>
        </w:tabs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C7A93">
        <w:rPr>
          <w:rFonts w:ascii="Times New Roman" w:hAnsi="Times New Roman"/>
          <w:b/>
          <w:sz w:val="28"/>
          <w:szCs w:val="28"/>
        </w:rPr>
        <w:t>Аннотация</w:t>
      </w:r>
    </w:p>
    <w:p w:rsidR="00C55340" w:rsidRPr="001C7A93" w:rsidRDefault="00C55340" w:rsidP="001C7A93">
      <w:pPr>
        <w:pStyle w:val="a5"/>
        <w:widowControl/>
        <w:tabs>
          <w:tab w:val="left" w:pos="360"/>
        </w:tabs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C7A93">
        <w:rPr>
          <w:rFonts w:ascii="Times New Roman" w:hAnsi="Times New Roman"/>
          <w:b/>
          <w:sz w:val="28"/>
          <w:szCs w:val="28"/>
        </w:rPr>
        <w:t>ТЗ-3</w:t>
      </w:r>
      <w:r w:rsidR="009B728F">
        <w:rPr>
          <w:rFonts w:ascii="Times New Roman" w:hAnsi="Times New Roman"/>
          <w:b/>
          <w:sz w:val="28"/>
          <w:szCs w:val="28"/>
        </w:rPr>
        <w:t>6</w:t>
      </w:r>
    </w:p>
    <w:p w:rsidR="00C55340" w:rsidRPr="001C7A93" w:rsidRDefault="00C55340" w:rsidP="008C0DDB">
      <w:pPr>
        <w:pStyle w:val="a5"/>
        <w:widowControl/>
        <w:tabs>
          <w:tab w:val="left" w:pos="360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C7A93">
        <w:rPr>
          <w:rFonts w:ascii="Times New Roman" w:hAnsi="Times New Roman"/>
          <w:sz w:val="28"/>
          <w:szCs w:val="28"/>
        </w:rPr>
        <w:t xml:space="preserve">Тема: </w:t>
      </w:r>
      <w:r w:rsidRPr="001C7A93">
        <w:rPr>
          <w:rFonts w:ascii="Times New Roman" w:hAnsi="Times New Roman"/>
          <w:b/>
          <w:sz w:val="28"/>
          <w:szCs w:val="28"/>
        </w:rPr>
        <w:t>«</w:t>
      </w:r>
      <w:r w:rsidR="00666C78" w:rsidRPr="00666C78">
        <w:rPr>
          <w:rFonts w:ascii="Times New Roman" w:hAnsi="Times New Roman"/>
          <w:b/>
          <w:sz w:val="28"/>
          <w:szCs w:val="28"/>
        </w:rPr>
        <w:t xml:space="preserve">Влияние изменений в экономической и социальной </w:t>
      </w:r>
      <w:proofErr w:type="gramStart"/>
      <w:r w:rsidR="00666C78" w:rsidRPr="00666C78">
        <w:rPr>
          <w:rFonts w:ascii="Times New Roman" w:hAnsi="Times New Roman"/>
          <w:b/>
          <w:sz w:val="28"/>
          <w:szCs w:val="28"/>
        </w:rPr>
        <w:t>политике на</w:t>
      </w:r>
      <w:proofErr w:type="gramEnd"/>
      <w:r w:rsidR="00666C78" w:rsidRPr="00666C78">
        <w:rPr>
          <w:rFonts w:ascii="Times New Roman" w:hAnsi="Times New Roman"/>
          <w:b/>
          <w:sz w:val="28"/>
          <w:szCs w:val="28"/>
        </w:rPr>
        <w:t xml:space="preserve"> потребительское поведение основных групп населения и формирование условий для активного долголетия</w:t>
      </w:r>
      <w:r w:rsidRPr="001C7A93">
        <w:rPr>
          <w:rFonts w:ascii="Times New Roman" w:hAnsi="Times New Roman"/>
          <w:b/>
          <w:sz w:val="28"/>
          <w:szCs w:val="28"/>
        </w:rPr>
        <w:t>»</w:t>
      </w:r>
    </w:p>
    <w:p w:rsidR="00C55340" w:rsidRPr="001C7A93" w:rsidRDefault="00C55340" w:rsidP="001C7A93">
      <w:pPr>
        <w:pStyle w:val="a5"/>
        <w:widowControl/>
        <w:tabs>
          <w:tab w:val="left" w:pos="36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1C7A93">
        <w:rPr>
          <w:rFonts w:ascii="Times New Roman" w:hAnsi="Times New Roman"/>
          <w:sz w:val="28"/>
          <w:szCs w:val="28"/>
        </w:rPr>
        <w:t>Руководитель: Л.Н. Овчарова</w:t>
      </w:r>
    </w:p>
    <w:p w:rsidR="00C55340" w:rsidRPr="001C7A93" w:rsidRDefault="00C55340" w:rsidP="008C0DDB">
      <w:pPr>
        <w:pStyle w:val="a5"/>
        <w:widowControl/>
        <w:tabs>
          <w:tab w:val="left" w:pos="36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A93">
        <w:rPr>
          <w:rFonts w:ascii="Times New Roman" w:hAnsi="Times New Roman"/>
          <w:sz w:val="28"/>
          <w:szCs w:val="28"/>
        </w:rPr>
        <w:t xml:space="preserve">Наименование подразделения: </w:t>
      </w:r>
      <w:r w:rsidRPr="001C7A93">
        <w:rPr>
          <w:rFonts w:ascii="Times New Roman" w:hAnsi="Times New Roman"/>
          <w:bCs/>
          <w:sz w:val="28"/>
          <w:szCs w:val="28"/>
        </w:rPr>
        <w:t>Центр анализа доходов и уровн</w:t>
      </w:r>
      <w:bookmarkStart w:id="0" w:name="_GoBack"/>
      <w:bookmarkEnd w:id="0"/>
      <w:r w:rsidRPr="001C7A93">
        <w:rPr>
          <w:rFonts w:ascii="Times New Roman" w:hAnsi="Times New Roman"/>
          <w:bCs/>
          <w:sz w:val="28"/>
          <w:szCs w:val="28"/>
        </w:rPr>
        <w:t>я жизни Института  управления социальными процессами НИУ ВШЭ</w:t>
      </w:r>
    </w:p>
    <w:p w:rsidR="00C55340" w:rsidRPr="001C7A93" w:rsidRDefault="00C55340" w:rsidP="001C7A93">
      <w:pPr>
        <w:pStyle w:val="a5"/>
        <w:widowControl/>
        <w:tabs>
          <w:tab w:val="left" w:pos="36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C7A93" w:rsidRPr="009440B4" w:rsidRDefault="001C7A93" w:rsidP="009440B4">
      <w:pPr>
        <w:pStyle w:val="a6"/>
        <w:numPr>
          <w:ilvl w:val="0"/>
          <w:numId w:val="2"/>
        </w:numPr>
        <w:spacing w:line="360" w:lineRule="auto"/>
        <w:ind w:left="0" w:firstLine="709"/>
        <w:rPr>
          <w:b/>
          <w:sz w:val="28"/>
          <w:szCs w:val="28"/>
        </w:rPr>
      </w:pPr>
      <w:r w:rsidRPr="001C7A93">
        <w:rPr>
          <w:b/>
          <w:sz w:val="28"/>
          <w:szCs w:val="28"/>
        </w:rPr>
        <w:t>Объект</w:t>
      </w:r>
      <w:r w:rsidR="000E7A8B">
        <w:rPr>
          <w:b/>
          <w:sz w:val="28"/>
          <w:szCs w:val="28"/>
        </w:rPr>
        <w:t>ом</w:t>
      </w:r>
      <w:r w:rsidRPr="001C7A93">
        <w:rPr>
          <w:b/>
          <w:sz w:val="28"/>
          <w:szCs w:val="28"/>
        </w:rPr>
        <w:t xml:space="preserve"> исследования </w:t>
      </w:r>
      <w:r w:rsidR="000E7A8B" w:rsidRPr="009B728F">
        <w:rPr>
          <w:sz w:val="28"/>
          <w:szCs w:val="28"/>
        </w:rPr>
        <w:t xml:space="preserve">являются </w:t>
      </w:r>
      <w:r w:rsidR="009440B4" w:rsidRPr="000E7A8B">
        <w:rPr>
          <w:sz w:val="28"/>
          <w:szCs w:val="28"/>
        </w:rPr>
        <w:t>д</w:t>
      </w:r>
      <w:r w:rsidR="009440B4" w:rsidRPr="009440B4">
        <w:rPr>
          <w:sz w:val="28"/>
          <w:szCs w:val="28"/>
        </w:rPr>
        <w:t xml:space="preserve">омашние хозяйства России, </w:t>
      </w:r>
      <w:r w:rsidR="000E7A8B">
        <w:rPr>
          <w:sz w:val="28"/>
          <w:szCs w:val="28"/>
        </w:rPr>
        <w:t xml:space="preserve">социальная и налоговая политика, </w:t>
      </w:r>
      <w:r w:rsidR="009440B4" w:rsidRPr="009440B4">
        <w:rPr>
          <w:sz w:val="28"/>
          <w:szCs w:val="28"/>
        </w:rPr>
        <w:t>пенсионная политика, политика государства в сфере формирования условий для активного долголетия</w:t>
      </w:r>
      <w:r w:rsidR="00CE577C" w:rsidRPr="00CE577C">
        <w:rPr>
          <w:sz w:val="28"/>
          <w:szCs w:val="28"/>
        </w:rPr>
        <w:t xml:space="preserve">. </w:t>
      </w:r>
      <w:r w:rsidR="00CE577C" w:rsidRPr="009440B4">
        <w:rPr>
          <w:b/>
          <w:sz w:val="28"/>
          <w:szCs w:val="28"/>
        </w:rPr>
        <w:t>Предметом</w:t>
      </w:r>
      <w:r w:rsidR="00CE577C" w:rsidRPr="009440B4">
        <w:rPr>
          <w:sz w:val="28"/>
          <w:szCs w:val="28"/>
        </w:rPr>
        <w:t xml:space="preserve"> данного исследования является </w:t>
      </w:r>
      <w:r w:rsidR="009440B4" w:rsidRPr="009440B4">
        <w:rPr>
          <w:sz w:val="28"/>
          <w:szCs w:val="28"/>
        </w:rPr>
        <w:t xml:space="preserve">благосостояние и уровень жизни населения, потребительское поведение, </w:t>
      </w:r>
      <w:r w:rsidR="000E7A8B">
        <w:rPr>
          <w:sz w:val="28"/>
          <w:szCs w:val="28"/>
        </w:rPr>
        <w:t xml:space="preserve">экономическое </w:t>
      </w:r>
      <w:r w:rsidR="009440B4" w:rsidRPr="009440B4">
        <w:rPr>
          <w:sz w:val="28"/>
          <w:szCs w:val="28"/>
        </w:rPr>
        <w:t>неравенство, эффекты перераспределительной политики</w:t>
      </w:r>
      <w:r w:rsidR="000E7A8B">
        <w:rPr>
          <w:sz w:val="28"/>
          <w:szCs w:val="28"/>
        </w:rPr>
        <w:t xml:space="preserve"> государства</w:t>
      </w:r>
      <w:r w:rsidR="009440B4" w:rsidRPr="009440B4">
        <w:rPr>
          <w:sz w:val="28"/>
          <w:szCs w:val="28"/>
        </w:rPr>
        <w:t>, потенциал пожилого населения, эпистемологические и методологические возможности изучения профессионализма в историческом и социо-культурном контекстах профессий</w:t>
      </w:r>
      <w:r w:rsidR="00966188" w:rsidRPr="009440B4">
        <w:rPr>
          <w:sz w:val="28"/>
          <w:szCs w:val="28"/>
        </w:rPr>
        <w:t>.</w:t>
      </w:r>
    </w:p>
    <w:p w:rsidR="001C7A93" w:rsidRPr="001C7A93" w:rsidRDefault="001C7A93" w:rsidP="00CE577C">
      <w:pPr>
        <w:pStyle w:val="a6"/>
        <w:numPr>
          <w:ilvl w:val="0"/>
          <w:numId w:val="2"/>
        </w:numPr>
        <w:spacing w:line="360" w:lineRule="auto"/>
        <w:ind w:left="0" w:firstLine="709"/>
        <w:rPr>
          <w:b/>
          <w:sz w:val="28"/>
          <w:szCs w:val="28"/>
        </w:rPr>
      </w:pPr>
      <w:r w:rsidRPr="001C7A93">
        <w:rPr>
          <w:b/>
          <w:sz w:val="28"/>
          <w:szCs w:val="28"/>
        </w:rPr>
        <w:t>Цель работы:</w:t>
      </w:r>
      <w:r w:rsidRPr="001C7A93">
        <w:rPr>
          <w:sz w:val="28"/>
          <w:szCs w:val="28"/>
        </w:rPr>
        <w:t xml:space="preserve"> </w:t>
      </w:r>
      <w:r w:rsidR="00CE577C" w:rsidRPr="00CE577C">
        <w:rPr>
          <w:sz w:val="28"/>
          <w:szCs w:val="28"/>
        </w:rPr>
        <w:t>анализ влияния изменений в экономической и социальной политике на потребительское поведение основных групп населения и формирование условий для активного долголетия, а также концептуализация и апробация социологической модели профессионализма с учетом культурных, институциональных и социальных универсалий, присущих профессионализму как обще-социальному феномену и с учетом уникальных исторических, социальных и культурных условий формирования и трансформации условий жизнедеятельности профессий</w:t>
      </w:r>
      <w:r w:rsidRPr="001C7A93">
        <w:rPr>
          <w:sz w:val="28"/>
          <w:szCs w:val="28"/>
        </w:rPr>
        <w:t>. Данный проект продолжает исследование, начатое в 2013</w:t>
      </w:r>
      <w:r w:rsidR="00CE577C">
        <w:rPr>
          <w:sz w:val="28"/>
          <w:szCs w:val="28"/>
        </w:rPr>
        <w:t>-2014</w:t>
      </w:r>
      <w:r w:rsidRPr="001C7A93">
        <w:rPr>
          <w:sz w:val="28"/>
          <w:szCs w:val="28"/>
        </w:rPr>
        <w:t xml:space="preserve"> </w:t>
      </w:r>
      <w:r w:rsidR="00CE577C">
        <w:rPr>
          <w:sz w:val="28"/>
          <w:szCs w:val="28"/>
        </w:rPr>
        <w:t>г</w:t>
      </w:r>
      <w:r w:rsidRPr="001C7A93">
        <w:rPr>
          <w:sz w:val="28"/>
          <w:szCs w:val="28"/>
        </w:rPr>
        <w:t>г</w:t>
      </w:r>
      <w:r w:rsidRPr="009B728F">
        <w:rPr>
          <w:sz w:val="28"/>
          <w:szCs w:val="28"/>
        </w:rPr>
        <w:t xml:space="preserve">., и направлен на формирование комплексной информационной базы для </w:t>
      </w:r>
      <w:r w:rsidR="000E7A8B" w:rsidRPr="009B728F">
        <w:rPr>
          <w:sz w:val="28"/>
          <w:szCs w:val="28"/>
        </w:rPr>
        <w:t xml:space="preserve">изучения доходов, уровня жизни и потребительского поведения домохозяйств и </w:t>
      </w:r>
      <w:r w:rsidRPr="009B728F">
        <w:rPr>
          <w:sz w:val="28"/>
          <w:szCs w:val="28"/>
        </w:rPr>
        <w:t>моделирования эффектов влияния государственной политики на сектор домохозяйств.</w:t>
      </w:r>
    </w:p>
    <w:p w:rsidR="001C7A93" w:rsidRPr="009440B4" w:rsidRDefault="001C7A93" w:rsidP="00966188">
      <w:pPr>
        <w:pStyle w:val="a6"/>
        <w:numPr>
          <w:ilvl w:val="0"/>
          <w:numId w:val="2"/>
        </w:numPr>
        <w:spacing w:line="360" w:lineRule="auto"/>
        <w:ind w:left="0" w:firstLine="709"/>
        <w:rPr>
          <w:b/>
          <w:sz w:val="28"/>
          <w:szCs w:val="28"/>
        </w:rPr>
      </w:pPr>
      <w:r w:rsidRPr="009440B4">
        <w:rPr>
          <w:b/>
          <w:sz w:val="28"/>
          <w:szCs w:val="28"/>
        </w:rPr>
        <w:lastRenderedPageBreak/>
        <w:t>Используемые методы:</w:t>
      </w:r>
      <w:r w:rsidR="00966188" w:rsidRPr="009440B4">
        <w:rPr>
          <w:sz w:val="28"/>
          <w:szCs w:val="28"/>
        </w:rPr>
        <w:t xml:space="preserve"> </w:t>
      </w:r>
      <w:r w:rsidR="009440B4" w:rsidRPr="009440B4">
        <w:rPr>
          <w:sz w:val="28"/>
          <w:szCs w:val="28"/>
        </w:rPr>
        <w:t>многомерный статистический анализ, микроимитационное моделирование, эконометрический и д</w:t>
      </w:r>
      <w:r w:rsidR="009440B4">
        <w:rPr>
          <w:sz w:val="28"/>
          <w:szCs w:val="28"/>
        </w:rPr>
        <w:t>е</w:t>
      </w:r>
      <w:r w:rsidR="009440B4" w:rsidRPr="009440B4">
        <w:rPr>
          <w:sz w:val="28"/>
          <w:szCs w:val="28"/>
        </w:rPr>
        <w:t>скриптивный анализ данных</w:t>
      </w:r>
      <w:r w:rsidR="009440B4">
        <w:rPr>
          <w:sz w:val="28"/>
          <w:szCs w:val="28"/>
        </w:rPr>
        <w:t xml:space="preserve"> обследований</w:t>
      </w:r>
      <w:r w:rsidR="009440B4" w:rsidRPr="009440B4">
        <w:rPr>
          <w:sz w:val="28"/>
          <w:szCs w:val="28"/>
        </w:rPr>
        <w:t>, индексный метод, кабинетное исследование, теоретико-методологический, историографический анализ; серия исследований в стратегии кейс-стади</w:t>
      </w:r>
      <w:r w:rsidR="00966188" w:rsidRPr="009440B4">
        <w:rPr>
          <w:sz w:val="28"/>
          <w:szCs w:val="28"/>
        </w:rPr>
        <w:t>.</w:t>
      </w:r>
    </w:p>
    <w:p w:rsidR="001C7A93" w:rsidRPr="009440B4" w:rsidRDefault="001C7A93" w:rsidP="00966188">
      <w:pPr>
        <w:pStyle w:val="a6"/>
        <w:numPr>
          <w:ilvl w:val="0"/>
          <w:numId w:val="2"/>
        </w:numPr>
        <w:spacing w:line="360" w:lineRule="auto"/>
        <w:ind w:left="0" w:firstLine="709"/>
        <w:rPr>
          <w:b/>
          <w:sz w:val="28"/>
          <w:szCs w:val="28"/>
        </w:rPr>
      </w:pPr>
      <w:r w:rsidRPr="009440B4">
        <w:rPr>
          <w:b/>
          <w:sz w:val="28"/>
          <w:szCs w:val="28"/>
        </w:rPr>
        <w:t xml:space="preserve">Эмпирическая база исследования: </w:t>
      </w:r>
      <w:r w:rsidR="00966188" w:rsidRPr="009440B4">
        <w:rPr>
          <w:sz w:val="28"/>
          <w:szCs w:val="28"/>
        </w:rPr>
        <w:t xml:space="preserve">микроданные Всероссийских переписей населения 2002 и 2010 гг., выборочного обследования «Родители и дети, мужчины и женщины в семье и обществе» (РиДМиЖ, </w:t>
      </w:r>
      <w:r w:rsidR="009440B4" w:rsidRPr="009440B4">
        <w:rPr>
          <w:sz w:val="28"/>
          <w:szCs w:val="28"/>
        </w:rPr>
        <w:t>2004-</w:t>
      </w:r>
      <w:r w:rsidR="00966188" w:rsidRPr="009440B4">
        <w:rPr>
          <w:sz w:val="28"/>
          <w:szCs w:val="28"/>
        </w:rPr>
        <w:t xml:space="preserve">2011 </w:t>
      </w:r>
      <w:r w:rsidR="009440B4" w:rsidRPr="009440B4">
        <w:rPr>
          <w:sz w:val="28"/>
          <w:szCs w:val="28"/>
        </w:rPr>
        <w:t>г</w:t>
      </w:r>
      <w:r w:rsidR="00966188" w:rsidRPr="009440B4">
        <w:rPr>
          <w:sz w:val="28"/>
          <w:szCs w:val="28"/>
        </w:rPr>
        <w:t>г.), «Комплексно</w:t>
      </w:r>
      <w:r w:rsidR="00FE66BB" w:rsidRPr="009440B4">
        <w:rPr>
          <w:sz w:val="28"/>
          <w:szCs w:val="28"/>
        </w:rPr>
        <w:t>го</w:t>
      </w:r>
      <w:r w:rsidR="00966188" w:rsidRPr="009440B4">
        <w:rPr>
          <w:sz w:val="28"/>
          <w:szCs w:val="28"/>
        </w:rPr>
        <w:t xml:space="preserve"> наблюдени</w:t>
      </w:r>
      <w:r w:rsidR="00FE66BB" w:rsidRPr="009440B4">
        <w:rPr>
          <w:sz w:val="28"/>
          <w:szCs w:val="28"/>
        </w:rPr>
        <w:t>я</w:t>
      </w:r>
      <w:r w:rsidR="00966188" w:rsidRPr="009440B4">
        <w:rPr>
          <w:sz w:val="28"/>
          <w:szCs w:val="28"/>
        </w:rPr>
        <w:t xml:space="preserve"> условий жизни населения» Федеральной службы государственной статистики</w:t>
      </w:r>
      <w:r w:rsidR="00FE66BB" w:rsidRPr="009440B4">
        <w:rPr>
          <w:sz w:val="28"/>
          <w:szCs w:val="28"/>
        </w:rPr>
        <w:t xml:space="preserve"> (</w:t>
      </w:r>
      <w:r w:rsidR="009440B4" w:rsidRPr="009440B4">
        <w:rPr>
          <w:sz w:val="28"/>
          <w:szCs w:val="28"/>
        </w:rPr>
        <w:t xml:space="preserve">КОУЖ, </w:t>
      </w:r>
      <w:r w:rsidR="00FE66BB" w:rsidRPr="009440B4">
        <w:rPr>
          <w:sz w:val="28"/>
          <w:szCs w:val="28"/>
        </w:rPr>
        <w:t>2011 г.)</w:t>
      </w:r>
      <w:r w:rsidR="00966188" w:rsidRPr="009440B4">
        <w:rPr>
          <w:sz w:val="28"/>
          <w:szCs w:val="28"/>
        </w:rPr>
        <w:t>, Европейско</w:t>
      </w:r>
      <w:r w:rsidR="00FE66BB" w:rsidRPr="009440B4">
        <w:rPr>
          <w:sz w:val="28"/>
          <w:szCs w:val="28"/>
        </w:rPr>
        <w:t>го</w:t>
      </w:r>
      <w:r w:rsidR="00966188" w:rsidRPr="009440B4">
        <w:rPr>
          <w:sz w:val="28"/>
          <w:szCs w:val="28"/>
        </w:rPr>
        <w:t xml:space="preserve"> социально</w:t>
      </w:r>
      <w:r w:rsidR="00FE66BB" w:rsidRPr="009440B4">
        <w:rPr>
          <w:sz w:val="28"/>
          <w:szCs w:val="28"/>
        </w:rPr>
        <w:t>го</w:t>
      </w:r>
      <w:r w:rsidR="00966188" w:rsidRPr="009440B4">
        <w:rPr>
          <w:sz w:val="28"/>
          <w:szCs w:val="28"/>
        </w:rPr>
        <w:t xml:space="preserve"> исследовани</w:t>
      </w:r>
      <w:r w:rsidR="00FE66BB" w:rsidRPr="009440B4">
        <w:rPr>
          <w:sz w:val="28"/>
          <w:szCs w:val="28"/>
        </w:rPr>
        <w:t>я</w:t>
      </w:r>
      <w:r w:rsidR="00966188" w:rsidRPr="009440B4">
        <w:rPr>
          <w:sz w:val="28"/>
          <w:szCs w:val="28"/>
        </w:rPr>
        <w:t xml:space="preserve"> (European Social Survey</w:t>
      </w:r>
      <w:r w:rsidR="00FE66BB" w:rsidRPr="009440B4">
        <w:rPr>
          <w:sz w:val="28"/>
          <w:szCs w:val="28"/>
        </w:rPr>
        <w:t xml:space="preserve"> </w:t>
      </w:r>
      <w:r w:rsidR="009440B4" w:rsidRPr="009440B4">
        <w:rPr>
          <w:sz w:val="28"/>
          <w:szCs w:val="28"/>
        </w:rPr>
        <w:t xml:space="preserve">– </w:t>
      </w:r>
      <w:r w:rsidR="009440B4" w:rsidRPr="009440B4">
        <w:rPr>
          <w:sz w:val="28"/>
          <w:szCs w:val="28"/>
          <w:lang w:val="en-US"/>
        </w:rPr>
        <w:t>ESS</w:t>
      </w:r>
      <w:r w:rsidR="009440B4" w:rsidRPr="009440B4">
        <w:rPr>
          <w:sz w:val="28"/>
          <w:szCs w:val="28"/>
        </w:rPr>
        <w:t xml:space="preserve">, </w:t>
      </w:r>
      <w:r w:rsidR="00FE66BB" w:rsidRPr="009440B4">
        <w:rPr>
          <w:sz w:val="28"/>
          <w:szCs w:val="28"/>
        </w:rPr>
        <w:t>2010 и 2012 гг.</w:t>
      </w:r>
      <w:r w:rsidR="00966188" w:rsidRPr="009440B4">
        <w:rPr>
          <w:sz w:val="28"/>
          <w:szCs w:val="28"/>
        </w:rPr>
        <w:t>), Российск</w:t>
      </w:r>
      <w:r w:rsidR="00FE66BB" w:rsidRPr="009440B4">
        <w:rPr>
          <w:sz w:val="28"/>
          <w:szCs w:val="28"/>
        </w:rPr>
        <w:t>ого</w:t>
      </w:r>
      <w:r w:rsidR="00966188" w:rsidRPr="009440B4">
        <w:rPr>
          <w:sz w:val="28"/>
          <w:szCs w:val="28"/>
        </w:rPr>
        <w:t xml:space="preserve"> мониторинг</w:t>
      </w:r>
      <w:r w:rsidR="00FE66BB" w:rsidRPr="009440B4">
        <w:rPr>
          <w:sz w:val="28"/>
          <w:szCs w:val="28"/>
        </w:rPr>
        <w:t>а</w:t>
      </w:r>
      <w:r w:rsidR="00966188" w:rsidRPr="009440B4">
        <w:rPr>
          <w:sz w:val="28"/>
          <w:szCs w:val="28"/>
        </w:rPr>
        <w:t xml:space="preserve"> экономического положения и здоровья населения НИУ ВШЭ</w:t>
      </w:r>
      <w:r w:rsidR="00FE66BB" w:rsidRPr="009440B4">
        <w:rPr>
          <w:sz w:val="28"/>
          <w:szCs w:val="28"/>
        </w:rPr>
        <w:t xml:space="preserve"> </w:t>
      </w:r>
      <w:r w:rsidR="009440B4" w:rsidRPr="009440B4">
        <w:rPr>
          <w:sz w:val="28"/>
          <w:szCs w:val="28"/>
        </w:rPr>
        <w:t xml:space="preserve">(РМЭЗ) </w:t>
      </w:r>
      <w:r w:rsidR="007C18B4" w:rsidRPr="009440B4">
        <w:rPr>
          <w:sz w:val="28"/>
          <w:szCs w:val="28"/>
        </w:rPr>
        <w:t>за 2000-</w:t>
      </w:r>
      <w:r w:rsidR="00FE66BB" w:rsidRPr="009440B4">
        <w:rPr>
          <w:sz w:val="28"/>
          <w:szCs w:val="28"/>
        </w:rPr>
        <w:t>201</w:t>
      </w:r>
      <w:r w:rsidR="007C18B4" w:rsidRPr="009440B4">
        <w:rPr>
          <w:sz w:val="28"/>
          <w:szCs w:val="28"/>
        </w:rPr>
        <w:t>3</w:t>
      </w:r>
      <w:r w:rsidR="00FE66BB" w:rsidRPr="009440B4">
        <w:rPr>
          <w:sz w:val="28"/>
          <w:szCs w:val="28"/>
        </w:rPr>
        <w:t xml:space="preserve"> г.</w:t>
      </w:r>
      <w:r w:rsidR="00966188" w:rsidRPr="009440B4">
        <w:rPr>
          <w:sz w:val="28"/>
          <w:szCs w:val="28"/>
        </w:rPr>
        <w:t>, Обследования бюджетов домашних хозяйств (ОБДХ)</w:t>
      </w:r>
      <w:r w:rsidR="00FE66BB" w:rsidRPr="009440B4">
        <w:rPr>
          <w:sz w:val="28"/>
          <w:szCs w:val="28"/>
        </w:rPr>
        <w:t xml:space="preserve"> за различные годы</w:t>
      </w:r>
      <w:r w:rsidR="00966188" w:rsidRPr="009440B4">
        <w:rPr>
          <w:sz w:val="28"/>
          <w:szCs w:val="28"/>
        </w:rPr>
        <w:t xml:space="preserve">, Обследования населения по проблемам занятости (ОНПЗ), </w:t>
      </w:r>
      <w:r w:rsidR="009440B4" w:rsidRPr="009440B4">
        <w:rPr>
          <w:sz w:val="28"/>
          <w:szCs w:val="28"/>
        </w:rPr>
        <w:t>Специализированн</w:t>
      </w:r>
      <w:r w:rsidR="000E7A8B">
        <w:rPr>
          <w:sz w:val="28"/>
          <w:szCs w:val="28"/>
        </w:rPr>
        <w:t xml:space="preserve">ых </w:t>
      </w:r>
      <w:r w:rsidR="009440B4" w:rsidRPr="009440B4">
        <w:rPr>
          <w:sz w:val="28"/>
          <w:szCs w:val="28"/>
        </w:rPr>
        <w:t>опрос</w:t>
      </w:r>
      <w:r w:rsidR="000E7A8B">
        <w:rPr>
          <w:sz w:val="28"/>
          <w:szCs w:val="28"/>
        </w:rPr>
        <w:t>ов</w:t>
      </w:r>
      <w:r w:rsidR="009440B4" w:rsidRPr="009440B4">
        <w:rPr>
          <w:sz w:val="28"/>
          <w:szCs w:val="28"/>
        </w:rPr>
        <w:t xml:space="preserve"> женщин </w:t>
      </w:r>
      <w:r w:rsidR="000E7A8B">
        <w:rPr>
          <w:sz w:val="28"/>
          <w:szCs w:val="28"/>
        </w:rPr>
        <w:t xml:space="preserve">с детьми дошкольного возраста, проведенных в </w:t>
      </w:r>
      <w:r w:rsidR="009440B4" w:rsidRPr="009440B4">
        <w:rPr>
          <w:sz w:val="28"/>
          <w:szCs w:val="28"/>
        </w:rPr>
        <w:t>Москв</w:t>
      </w:r>
      <w:r w:rsidR="000E7A8B">
        <w:rPr>
          <w:sz w:val="28"/>
          <w:szCs w:val="28"/>
        </w:rPr>
        <w:t xml:space="preserve">е за </w:t>
      </w:r>
      <w:r w:rsidR="009440B4">
        <w:rPr>
          <w:sz w:val="28"/>
          <w:szCs w:val="28"/>
        </w:rPr>
        <w:t>2014</w:t>
      </w:r>
      <w:r w:rsidR="000E7A8B">
        <w:rPr>
          <w:sz w:val="28"/>
          <w:szCs w:val="28"/>
        </w:rPr>
        <w:t xml:space="preserve"> и 2015 г</w:t>
      </w:r>
      <w:r w:rsidR="009440B4">
        <w:rPr>
          <w:sz w:val="28"/>
          <w:szCs w:val="28"/>
        </w:rPr>
        <w:t>г.</w:t>
      </w:r>
      <w:r w:rsidR="00BD5C44">
        <w:rPr>
          <w:sz w:val="28"/>
          <w:szCs w:val="28"/>
        </w:rPr>
        <w:t>;</w:t>
      </w:r>
      <w:r w:rsidR="009440B4" w:rsidRPr="009440B4">
        <w:rPr>
          <w:sz w:val="28"/>
          <w:szCs w:val="28"/>
        </w:rPr>
        <w:t xml:space="preserve"> статистические ресурсы Росстата, Всемирного Банка, ООН, ВОЗ.</w:t>
      </w:r>
    </w:p>
    <w:p w:rsidR="003218FD" w:rsidRPr="00305530" w:rsidRDefault="001C7A93" w:rsidP="003218FD">
      <w:pPr>
        <w:pStyle w:val="a6"/>
        <w:numPr>
          <w:ilvl w:val="0"/>
          <w:numId w:val="2"/>
        </w:numPr>
        <w:spacing w:line="360" w:lineRule="auto"/>
        <w:ind w:left="0" w:firstLine="851"/>
        <w:rPr>
          <w:sz w:val="28"/>
          <w:szCs w:val="28"/>
        </w:rPr>
      </w:pPr>
      <w:r w:rsidRPr="00305530">
        <w:rPr>
          <w:b/>
          <w:sz w:val="28"/>
          <w:szCs w:val="28"/>
        </w:rPr>
        <w:t xml:space="preserve">Результаты работы: </w:t>
      </w:r>
      <w:r w:rsidR="003218FD" w:rsidRPr="00305530">
        <w:rPr>
          <w:sz w:val="28"/>
          <w:szCs w:val="28"/>
        </w:rPr>
        <w:t xml:space="preserve">В исследовании показано, что пенсии являются ключевым элементом российской перераспределительной системы. Вторым по </w:t>
      </w:r>
      <w:r w:rsidR="000E7A8B">
        <w:rPr>
          <w:sz w:val="28"/>
          <w:szCs w:val="28"/>
        </w:rPr>
        <w:t xml:space="preserve">степени </w:t>
      </w:r>
      <w:r w:rsidR="003218FD" w:rsidRPr="00305530">
        <w:rPr>
          <w:sz w:val="28"/>
          <w:szCs w:val="28"/>
        </w:rPr>
        <w:t xml:space="preserve">важности </w:t>
      </w:r>
      <w:r w:rsidR="000E7A8B">
        <w:rPr>
          <w:sz w:val="28"/>
          <w:szCs w:val="28"/>
        </w:rPr>
        <w:t>к</w:t>
      </w:r>
      <w:r w:rsidR="003218FD" w:rsidRPr="00305530">
        <w:rPr>
          <w:sz w:val="28"/>
          <w:szCs w:val="28"/>
        </w:rPr>
        <w:t xml:space="preserve">омпонентом российской </w:t>
      </w:r>
      <w:r w:rsidR="000E7A8B">
        <w:rPr>
          <w:sz w:val="28"/>
          <w:szCs w:val="28"/>
        </w:rPr>
        <w:t>перер</w:t>
      </w:r>
      <w:r w:rsidR="009B728F">
        <w:rPr>
          <w:sz w:val="28"/>
          <w:szCs w:val="28"/>
        </w:rPr>
        <w:t>а</w:t>
      </w:r>
      <w:r w:rsidR="000E7A8B">
        <w:rPr>
          <w:sz w:val="28"/>
          <w:szCs w:val="28"/>
        </w:rPr>
        <w:t xml:space="preserve">спределительной </w:t>
      </w:r>
      <w:r w:rsidR="003218FD" w:rsidRPr="00305530">
        <w:rPr>
          <w:sz w:val="28"/>
          <w:szCs w:val="28"/>
        </w:rPr>
        <w:t xml:space="preserve">системы являются трансферты в натуральной форме (образование и здравоохранение). В целом, перераспределяя значительные объемы средств между поколениями («горизонтальное перераспределение»), российская система </w:t>
      </w:r>
      <w:r w:rsidR="000E7A8B">
        <w:rPr>
          <w:sz w:val="28"/>
          <w:szCs w:val="28"/>
        </w:rPr>
        <w:t xml:space="preserve">налогов и трансфертов </w:t>
      </w:r>
      <w:r w:rsidR="003218FD" w:rsidRPr="00305530">
        <w:rPr>
          <w:sz w:val="28"/>
          <w:szCs w:val="28"/>
        </w:rPr>
        <w:t xml:space="preserve">имеет ограниченный потенциал «вертикального перераспределения», то есть перераспределения от богатых к бедным из-за превалирования категориальных пособий. </w:t>
      </w:r>
      <w:r w:rsidR="00722735" w:rsidRPr="00305530">
        <w:rPr>
          <w:sz w:val="28"/>
          <w:szCs w:val="28"/>
        </w:rPr>
        <w:t>П</w:t>
      </w:r>
      <w:r w:rsidR="003218FD" w:rsidRPr="00305530">
        <w:rPr>
          <w:sz w:val="28"/>
          <w:szCs w:val="28"/>
        </w:rPr>
        <w:t xml:space="preserve">ри плоской шкале подоходного налога и регрессивной шкале социальных отчислений высокий вес косвенных налогов в России </w:t>
      </w:r>
      <w:r w:rsidR="000E7A8B">
        <w:rPr>
          <w:sz w:val="28"/>
          <w:szCs w:val="28"/>
        </w:rPr>
        <w:t xml:space="preserve">увеличивает уровень </w:t>
      </w:r>
      <w:r w:rsidR="003218FD" w:rsidRPr="00305530">
        <w:rPr>
          <w:sz w:val="28"/>
          <w:szCs w:val="28"/>
        </w:rPr>
        <w:t>бедност</w:t>
      </w:r>
      <w:r w:rsidR="000E7A8B">
        <w:rPr>
          <w:sz w:val="28"/>
          <w:szCs w:val="28"/>
        </w:rPr>
        <w:t>и</w:t>
      </w:r>
      <w:r w:rsidR="003218FD" w:rsidRPr="00305530">
        <w:rPr>
          <w:sz w:val="28"/>
          <w:szCs w:val="28"/>
        </w:rPr>
        <w:t xml:space="preserve"> и неравенства. </w:t>
      </w:r>
      <w:bookmarkStart w:id="1" w:name="_Toc436463109"/>
      <w:bookmarkStart w:id="2" w:name="_Toc436686032"/>
      <w:bookmarkStart w:id="3" w:name="_Toc436687693"/>
      <w:bookmarkStart w:id="4" w:name="_Toc436687843"/>
      <w:bookmarkStart w:id="5" w:name="_Toc436846360"/>
      <w:bookmarkStart w:id="6" w:name="_Toc436846540"/>
      <w:bookmarkStart w:id="7" w:name="_Toc436847020"/>
    </w:p>
    <w:bookmarkEnd w:id="1"/>
    <w:bookmarkEnd w:id="2"/>
    <w:bookmarkEnd w:id="3"/>
    <w:bookmarkEnd w:id="4"/>
    <w:bookmarkEnd w:id="5"/>
    <w:bookmarkEnd w:id="6"/>
    <w:bookmarkEnd w:id="7"/>
    <w:p w:rsidR="003218FD" w:rsidRPr="003218FD" w:rsidRDefault="000E7A8B" w:rsidP="003218FD">
      <w:pPr>
        <w:pStyle w:val="123"/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В результате применения методики динамического микромоделирования косвенных эффектов реформ НДС п</w:t>
      </w:r>
      <w:r w:rsidR="00305530">
        <w:rPr>
          <w:sz w:val="28"/>
          <w:szCs w:val="28"/>
        </w:rPr>
        <w:t>оказано</w:t>
      </w:r>
      <w:r w:rsidR="003218FD" w:rsidRPr="003218FD">
        <w:rPr>
          <w:sz w:val="28"/>
          <w:szCs w:val="28"/>
        </w:rPr>
        <w:t>, что при 25%-ном росте ставок НДС нижний порог роста поступлений в бюджет составит 19,6%, так как население компенсирует рост размера НДС сокращением своих потребительских расходов и изменением состава своей потребительской корзины с целью сохранения прежнего объема суммарных расходов при боле</w:t>
      </w:r>
      <w:r w:rsidR="00BA5214">
        <w:rPr>
          <w:sz w:val="28"/>
          <w:szCs w:val="28"/>
        </w:rPr>
        <w:t>е</w:t>
      </w:r>
      <w:r w:rsidR="003218FD" w:rsidRPr="003218FD">
        <w:rPr>
          <w:sz w:val="28"/>
          <w:szCs w:val="28"/>
        </w:rPr>
        <w:t xml:space="preserve"> высоких ставках НДС. При этом налоговое время сместится на домохозяйства, состоящие из трех индивидов, а также на домохозяйства с одним ребенком. </w:t>
      </w:r>
      <w:bookmarkStart w:id="8" w:name="_Toc436463134"/>
      <w:bookmarkStart w:id="9" w:name="_Toc436686056"/>
      <w:bookmarkStart w:id="10" w:name="_Toc436687696"/>
      <w:bookmarkStart w:id="11" w:name="_Toc436687856"/>
      <w:bookmarkStart w:id="12" w:name="_Toc436846363"/>
      <w:bookmarkStart w:id="13" w:name="_Toc436846553"/>
      <w:bookmarkStart w:id="14" w:name="_Toc436847030"/>
    </w:p>
    <w:p w:rsidR="003218FD" w:rsidRDefault="002A362D" w:rsidP="003218FD">
      <w:pPr>
        <w:pStyle w:val="123"/>
        <w:ind w:firstLine="851"/>
        <w:rPr>
          <w:sz w:val="28"/>
          <w:szCs w:val="28"/>
        </w:rPr>
      </w:pPr>
      <w:bookmarkStart w:id="15" w:name="_Toc436686095"/>
      <w:bookmarkEnd w:id="8"/>
      <w:bookmarkEnd w:id="9"/>
      <w:bookmarkEnd w:id="10"/>
      <w:bookmarkEnd w:id="11"/>
      <w:bookmarkEnd w:id="12"/>
      <w:bookmarkEnd w:id="13"/>
      <w:bookmarkEnd w:id="14"/>
      <w:r>
        <w:rPr>
          <w:sz w:val="28"/>
          <w:szCs w:val="28"/>
        </w:rPr>
        <w:t xml:space="preserve">На основе анализа данных РМЭЗ-ВШЭ </w:t>
      </w:r>
      <w:r w:rsidR="003218FD" w:rsidRPr="003218FD">
        <w:rPr>
          <w:sz w:val="28"/>
          <w:szCs w:val="28"/>
        </w:rPr>
        <w:t xml:space="preserve">показано, что ограничение выплат работающим пенсионерам, </w:t>
      </w:r>
      <w:r>
        <w:rPr>
          <w:sz w:val="28"/>
          <w:szCs w:val="28"/>
        </w:rPr>
        <w:t>продвигаемое Правительством</w:t>
      </w:r>
      <w:r w:rsidR="003218FD" w:rsidRPr="003218FD">
        <w:rPr>
          <w:sz w:val="28"/>
          <w:szCs w:val="28"/>
        </w:rPr>
        <w:t xml:space="preserve">, в минимальной степени увеличит риски домохозяйств с пенсионерами. Более серьезные последствия будет иметь падение реального размера пенсии (на 10% и более), а также гипотетический сценарий ухода пенсионеров с формального рынка труда. </w:t>
      </w:r>
      <w:r>
        <w:rPr>
          <w:sz w:val="28"/>
          <w:szCs w:val="28"/>
        </w:rPr>
        <w:t>Тем не менее, пенсионеры по-прежнему будут характеризоваться меньшими рисками бедности</w:t>
      </w:r>
      <w:r w:rsidR="009B728F">
        <w:rPr>
          <w:sz w:val="28"/>
          <w:szCs w:val="28"/>
        </w:rPr>
        <w:t xml:space="preserve"> по доходам</w:t>
      </w:r>
      <w:r>
        <w:rPr>
          <w:sz w:val="28"/>
          <w:szCs w:val="28"/>
        </w:rPr>
        <w:t>, чем семьи с детьми.</w:t>
      </w:r>
    </w:p>
    <w:p w:rsidR="002A362D" w:rsidRPr="003218FD" w:rsidRDefault="002A362D" w:rsidP="003218FD">
      <w:pPr>
        <w:pStyle w:val="123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Одним из результатов анализа чувствительности оценок отдельных компонент </w:t>
      </w:r>
      <w:r w:rsidR="009B728F">
        <w:rPr>
          <w:sz w:val="28"/>
          <w:szCs w:val="28"/>
        </w:rPr>
        <w:t>И</w:t>
      </w:r>
      <w:r>
        <w:rPr>
          <w:sz w:val="28"/>
          <w:szCs w:val="28"/>
        </w:rPr>
        <w:t xml:space="preserve">ндекса </w:t>
      </w:r>
      <w:r w:rsidR="009B728F">
        <w:rPr>
          <w:sz w:val="28"/>
          <w:szCs w:val="28"/>
        </w:rPr>
        <w:t xml:space="preserve">активного долголетия </w:t>
      </w:r>
      <w:r>
        <w:rPr>
          <w:sz w:val="28"/>
          <w:szCs w:val="28"/>
        </w:rPr>
        <w:t>к источнику данных и формулировке вопроса и устойчивости положения страны в рейтинге при смене данных стал вывод о необходимости тщательного отбора данных и вопросов для включения в международные индексы с целью улучшения положения России в них</w:t>
      </w:r>
      <w:r w:rsidR="000B64C5">
        <w:rPr>
          <w:sz w:val="28"/>
          <w:szCs w:val="28"/>
        </w:rPr>
        <w:t>. Наилучшим вариантом стало бы включение ряда вопросов, необходимых для мониторинга активного долголетия, в регулярные обследования Росстата.</w:t>
      </w:r>
    </w:p>
    <w:bookmarkEnd w:id="15"/>
    <w:p w:rsidR="000B64C5" w:rsidRDefault="000B64C5" w:rsidP="003218FD">
      <w:pPr>
        <w:pStyle w:val="123"/>
        <w:ind w:firstLine="851"/>
        <w:rPr>
          <w:sz w:val="28"/>
          <w:szCs w:val="28"/>
        </w:rPr>
      </w:pPr>
      <w:r>
        <w:rPr>
          <w:sz w:val="28"/>
          <w:szCs w:val="28"/>
        </w:rPr>
        <w:t>Исследование показало</w:t>
      </w:r>
      <w:r w:rsidR="003218FD" w:rsidRPr="003218FD">
        <w:rPr>
          <w:sz w:val="28"/>
          <w:szCs w:val="28"/>
        </w:rPr>
        <w:t>,</w:t>
      </w:r>
      <w:r>
        <w:rPr>
          <w:sz w:val="28"/>
          <w:szCs w:val="28"/>
        </w:rPr>
        <w:t xml:space="preserve"> что</w:t>
      </w:r>
      <w:r w:rsidR="003218FD" w:rsidRPr="003218FD">
        <w:rPr>
          <w:sz w:val="28"/>
          <w:szCs w:val="28"/>
        </w:rPr>
        <w:t xml:space="preserve"> само понятие профессионализма конструируется в рамках конкретной исторической эпохи и определяется не только конкретными квалификационными, нормативными требованиями внутри профессий. Область морально-этических диспозиций, формальные и </w:t>
      </w:r>
      <w:r w:rsidR="003218FD" w:rsidRPr="003218FD">
        <w:rPr>
          <w:sz w:val="28"/>
          <w:szCs w:val="28"/>
        </w:rPr>
        <w:lastRenderedPageBreak/>
        <w:t>неформальные аспекты профессиональных практик оказывают влияние на то, как складывается в профессиональной среде сама семантика рассматриваемого понятия и особенности его употребления. Во-вторых, социальные, культурные, организационные контексты имеют важное значение для анализа изменений внутри профессиональных сообществ. Анализ эмпирических кейсов на примере медицинской и академической профессий</w:t>
      </w:r>
      <w:r>
        <w:rPr>
          <w:sz w:val="28"/>
          <w:szCs w:val="28"/>
        </w:rPr>
        <w:t xml:space="preserve"> </w:t>
      </w:r>
      <w:r w:rsidR="003218FD" w:rsidRPr="003218FD">
        <w:rPr>
          <w:sz w:val="28"/>
          <w:szCs w:val="28"/>
        </w:rPr>
        <w:t xml:space="preserve">демонстрирует показательную ситуацию, когда под влиянием тенденций менеджериального управления, ориентации на экономическую эффективность в социально-значимых профессиональных отраслях незаметно даже для самих работников создается почва для переопределения содержания профессионализма. </w:t>
      </w:r>
    </w:p>
    <w:p w:rsidR="0017668E" w:rsidRPr="00CC24FD" w:rsidRDefault="001C7A93" w:rsidP="0017668E">
      <w:pPr>
        <w:pStyle w:val="a6"/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17668E">
        <w:rPr>
          <w:b/>
          <w:sz w:val="28"/>
          <w:szCs w:val="28"/>
        </w:rPr>
        <w:t>Степень внедрения, рекомендации по внедрению или итоги внедрения результатов НИР (заполняется при возможности практического использования полученных результатов)</w:t>
      </w:r>
      <w:r w:rsidR="0017668E" w:rsidRPr="0017668E">
        <w:rPr>
          <w:b/>
          <w:sz w:val="28"/>
          <w:szCs w:val="28"/>
        </w:rPr>
        <w:t xml:space="preserve">: </w:t>
      </w:r>
      <w:r w:rsidR="00394134">
        <w:rPr>
          <w:sz w:val="28"/>
          <w:szCs w:val="28"/>
        </w:rPr>
        <w:t xml:space="preserve">Отдельные результаты исследования (в области </w:t>
      </w:r>
      <w:r w:rsidR="004255AA">
        <w:rPr>
          <w:sz w:val="28"/>
          <w:szCs w:val="28"/>
        </w:rPr>
        <w:t xml:space="preserve">анализа пожилого населения, индексов активного долголетия, </w:t>
      </w:r>
      <w:r w:rsidR="00394134">
        <w:rPr>
          <w:sz w:val="28"/>
          <w:szCs w:val="28"/>
        </w:rPr>
        <w:t>пенсионного обеспечения, анализа неравенства</w:t>
      </w:r>
      <w:r w:rsidR="004255AA">
        <w:rPr>
          <w:sz w:val="28"/>
          <w:szCs w:val="28"/>
        </w:rPr>
        <w:t>, политики в области дошкольных учреждений</w:t>
      </w:r>
      <w:r w:rsidR="00394134">
        <w:rPr>
          <w:sz w:val="28"/>
          <w:szCs w:val="28"/>
        </w:rPr>
        <w:t>) были использованы при подготовке в 201</w:t>
      </w:r>
      <w:r w:rsidR="004255AA">
        <w:rPr>
          <w:sz w:val="28"/>
          <w:szCs w:val="28"/>
        </w:rPr>
        <w:t>5</w:t>
      </w:r>
      <w:r w:rsidR="00394134">
        <w:rPr>
          <w:sz w:val="28"/>
          <w:szCs w:val="28"/>
        </w:rPr>
        <w:t xml:space="preserve"> г. </w:t>
      </w:r>
      <w:r w:rsidR="0017668E" w:rsidRPr="00CC24FD">
        <w:rPr>
          <w:sz w:val="28"/>
          <w:szCs w:val="28"/>
        </w:rPr>
        <w:t>аналитически</w:t>
      </w:r>
      <w:r w:rsidR="00394134">
        <w:rPr>
          <w:sz w:val="28"/>
          <w:szCs w:val="28"/>
        </w:rPr>
        <w:t>х</w:t>
      </w:r>
      <w:r w:rsidR="0017668E" w:rsidRPr="00CC24FD">
        <w:rPr>
          <w:sz w:val="28"/>
          <w:szCs w:val="28"/>
        </w:rPr>
        <w:t xml:space="preserve"> запис</w:t>
      </w:r>
      <w:r w:rsidR="00394134">
        <w:rPr>
          <w:sz w:val="28"/>
          <w:szCs w:val="28"/>
        </w:rPr>
        <w:t>ок</w:t>
      </w:r>
      <w:r w:rsidR="0017668E" w:rsidRPr="00CC24FD">
        <w:rPr>
          <w:sz w:val="28"/>
          <w:szCs w:val="28"/>
        </w:rPr>
        <w:t xml:space="preserve"> и экспертны</w:t>
      </w:r>
      <w:r w:rsidR="00394134">
        <w:rPr>
          <w:sz w:val="28"/>
          <w:szCs w:val="28"/>
        </w:rPr>
        <w:t>х</w:t>
      </w:r>
      <w:r w:rsidR="0017668E" w:rsidRPr="00CC24FD">
        <w:rPr>
          <w:sz w:val="28"/>
          <w:szCs w:val="28"/>
        </w:rPr>
        <w:t xml:space="preserve"> заключени</w:t>
      </w:r>
      <w:r w:rsidR="00394134">
        <w:rPr>
          <w:sz w:val="28"/>
          <w:szCs w:val="28"/>
        </w:rPr>
        <w:t>й</w:t>
      </w:r>
      <w:r w:rsidR="0017668E" w:rsidRPr="00CC24FD">
        <w:rPr>
          <w:sz w:val="28"/>
          <w:szCs w:val="28"/>
        </w:rPr>
        <w:t xml:space="preserve">, </w:t>
      </w:r>
      <w:r w:rsidR="00394134">
        <w:rPr>
          <w:sz w:val="28"/>
          <w:szCs w:val="28"/>
        </w:rPr>
        <w:t xml:space="preserve">в том числе </w:t>
      </w:r>
      <w:r w:rsidR="0017668E" w:rsidRPr="00CC24FD">
        <w:rPr>
          <w:sz w:val="28"/>
          <w:szCs w:val="28"/>
        </w:rPr>
        <w:t>направл</w:t>
      </w:r>
      <w:r w:rsidR="00394134">
        <w:rPr>
          <w:sz w:val="28"/>
          <w:szCs w:val="28"/>
        </w:rPr>
        <w:t>явшихся</w:t>
      </w:r>
      <w:r w:rsidR="0017668E" w:rsidRPr="00CC24FD">
        <w:rPr>
          <w:sz w:val="28"/>
          <w:szCs w:val="28"/>
        </w:rPr>
        <w:t xml:space="preserve"> в Правительство России.</w:t>
      </w:r>
      <w:r w:rsidR="004255AA">
        <w:rPr>
          <w:sz w:val="28"/>
          <w:szCs w:val="28"/>
        </w:rPr>
        <w:t xml:space="preserve"> На протяжении </w:t>
      </w:r>
      <w:r w:rsidR="00A81B86">
        <w:rPr>
          <w:sz w:val="28"/>
          <w:szCs w:val="28"/>
        </w:rPr>
        <w:t xml:space="preserve">2015 г. </w:t>
      </w:r>
      <w:r w:rsidR="004255AA">
        <w:rPr>
          <w:sz w:val="28"/>
          <w:szCs w:val="28"/>
        </w:rPr>
        <w:t xml:space="preserve">материалы проекта служили базой для сотрудничества с Минтруда России по вопросам доработки Стратегии действий в интересах граждан пожилого возраста и уточнения методологии расчета международных индексов активного долголетия как возможного инструмента мониторинга реализации данной Стратегии. </w:t>
      </w:r>
    </w:p>
    <w:p w:rsidR="001C7A93" w:rsidRPr="001C7A93" w:rsidRDefault="001C7A93" w:rsidP="00966188">
      <w:pPr>
        <w:pStyle w:val="a6"/>
        <w:numPr>
          <w:ilvl w:val="0"/>
          <w:numId w:val="2"/>
        </w:numPr>
        <w:spacing w:line="360" w:lineRule="auto"/>
        <w:ind w:left="0" w:firstLine="709"/>
        <w:rPr>
          <w:b/>
          <w:sz w:val="28"/>
          <w:szCs w:val="28"/>
        </w:rPr>
      </w:pPr>
      <w:r w:rsidRPr="001C7A93">
        <w:rPr>
          <w:b/>
          <w:sz w:val="28"/>
          <w:szCs w:val="28"/>
        </w:rPr>
        <w:t>Область применения</w:t>
      </w:r>
    </w:p>
    <w:p w:rsidR="009950E3" w:rsidRPr="001C7A93" w:rsidRDefault="006157A0" w:rsidP="009B728F">
      <w:pPr>
        <w:pStyle w:val="123"/>
        <w:spacing w:before="0" w:after="0"/>
        <w:rPr>
          <w:sz w:val="28"/>
          <w:szCs w:val="28"/>
        </w:rPr>
      </w:pPr>
      <w:proofErr w:type="gramStart"/>
      <w:r w:rsidRPr="001C7A93">
        <w:rPr>
          <w:sz w:val="28"/>
          <w:szCs w:val="28"/>
        </w:rPr>
        <w:t xml:space="preserve">Результаты данной работы </w:t>
      </w:r>
      <w:r w:rsidR="00A81B86">
        <w:rPr>
          <w:sz w:val="28"/>
          <w:szCs w:val="28"/>
        </w:rPr>
        <w:t xml:space="preserve">могут быть </w:t>
      </w:r>
      <w:r w:rsidRPr="001C7A93">
        <w:rPr>
          <w:sz w:val="28"/>
          <w:szCs w:val="28"/>
        </w:rPr>
        <w:t>использован</w:t>
      </w:r>
      <w:r w:rsidR="00A81B86">
        <w:rPr>
          <w:sz w:val="28"/>
          <w:szCs w:val="28"/>
        </w:rPr>
        <w:t>ы</w:t>
      </w:r>
      <w:r w:rsidRPr="001C7A93">
        <w:rPr>
          <w:sz w:val="28"/>
          <w:szCs w:val="28"/>
        </w:rPr>
        <w:t xml:space="preserve"> Министерством труда и социально</w:t>
      </w:r>
      <w:r w:rsidR="004255AA">
        <w:rPr>
          <w:sz w:val="28"/>
          <w:szCs w:val="28"/>
        </w:rPr>
        <w:t>й</w:t>
      </w:r>
      <w:r w:rsidRPr="001C7A93">
        <w:rPr>
          <w:sz w:val="28"/>
          <w:szCs w:val="28"/>
        </w:rPr>
        <w:t xml:space="preserve"> </w:t>
      </w:r>
      <w:r w:rsidR="004255AA">
        <w:rPr>
          <w:sz w:val="28"/>
          <w:szCs w:val="28"/>
        </w:rPr>
        <w:t>защиты</w:t>
      </w:r>
      <w:r w:rsidRPr="001C7A93">
        <w:rPr>
          <w:sz w:val="28"/>
          <w:szCs w:val="28"/>
        </w:rPr>
        <w:t xml:space="preserve"> РФ</w:t>
      </w:r>
      <w:r w:rsidR="004255AA">
        <w:rPr>
          <w:sz w:val="28"/>
          <w:szCs w:val="28"/>
        </w:rPr>
        <w:t>, Росстатом</w:t>
      </w:r>
      <w:r w:rsidRPr="001C7A93">
        <w:rPr>
          <w:sz w:val="28"/>
          <w:szCs w:val="28"/>
        </w:rPr>
        <w:t xml:space="preserve"> и другими ведомствами в ходе разработки </w:t>
      </w:r>
      <w:r w:rsidR="00A81B86">
        <w:rPr>
          <w:sz w:val="28"/>
          <w:szCs w:val="28"/>
        </w:rPr>
        <w:t xml:space="preserve">новых мер и анализа эффективности существующих мер налоговой, </w:t>
      </w:r>
      <w:r w:rsidRPr="001C7A93">
        <w:rPr>
          <w:sz w:val="28"/>
          <w:szCs w:val="28"/>
        </w:rPr>
        <w:t>социальной</w:t>
      </w:r>
      <w:r w:rsidR="00394134">
        <w:rPr>
          <w:sz w:val="28"/>
          <w:szCs w:val="28"/>
        </w:rPr>
        <w:t>, семейной</w:t>
      </w:r>
      <w:r w:rsidRPr="001C7A93">
        <w:rPr>
          <w:sz w:val="28"/>
          <w:szCs w:val="28"/>
        </w:rPr>
        <w:t xml:space="preserve"> и экономической политики России.</w:t>
      </w:r>
      <w:proofErr w:type="gramEnd"/>
    </w:p>
    <w:sectPr w:rsidR="009950E3" w:rsidRPr="001C7A93" w:rsidSect="008C0DDB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7A4" w:rsidRDefault="00AD17A4" w:rsidP="003218FD">
      <w:pPr>
        <w:spacing w:after="0" w:line="240" w:lineRule="auto"/>
      </w:pPr>
      <w:r>
        <w:separator/>
      </w:r>
    </w:p>
  </w:endnote>
  <w:endnote w:type="continuationSeparator" w:id="0">
    <w:p w:rsidR="00AD17A4" w:rsidRDefault="00AD17A4" w:rsidP="00321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7A4" w:rsidRDefault="00AD17A4" w:rsidP="003218FD">
      <w:pPr>
        <w:spacing w:after="0" w:line="240" w:lineRule="auto"/>
      </w:pPr>
      <w:r>
        <w:separator/>
      </w:r>
    </w:p>
  </w:footnote>
  <w:footnote w:type="continuationSeparator" w:id="0">
    <w:p w:rsidR="00AD17A4" w:rsidRDefault="00AD17A4" w:rsidP="003218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55B0"/>
    <w:multiLevelType w:val="hybridMultilevel"/>
    <w:tmpl w:val="4A8E9802"/>
    <w:lvl w:ilvl="0" w:tplc="F636118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A451CC"/>
    <w:multiLevelType w:val="hybridMultilevel"/>
    <w:tmpl w:val="F4FAC654"/>
    <w:lvl w:ilvl="0" w:tplc="F8046BD4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340"/>
    <w:rsid w:val="000432A8"/>
    <w:rsid w:val="000B64C5"/>
    <w:rsid w:val="000D2D93"/>
    <w:rsid w:val="000E7A8B"/>
    <w:rsid w:val="00160802"/>
    <w:rsid w:val="0017668E"/>
    <w:rsid w:val="001C7A93"/>
    <w:rsid w:val="002A362D"/>
    <w:rsid w:val="002E5531"/>
    <w:rsid w:val="00305530"/>
    <w:rsid w:val="003218FD"/>
    <w:rsid w:val="00394134"/>
    <w:rsid w:val="004255AA"/>
    <w:rsid w:val="0044729D"/>
    <w:rsid w:val="00523506"/>
    <w:rsid w:val="006157A0"/>
    <w:rsid w:val="00666C78"/>
    <w:rsid w:val="00674CCC"/>
    <w:rsid w:val="00722735"/>
    <w:rsid w:val="00734A2C"/>
    <w:rsid w:val="007C18B4"/>
    <w:rsid w:val="008433BF"/>
    <w:rsid w:val="008C0DDB"/>
    <w:rsid w:val="009440B4"/>
    <w:rsid w:val="00955F84"/>
    <w:rsid w:val="00966188"/>
    <w:rsid w:val="009950E3"/>
    <w:rsid w:val="009B728F"/>
    <w:rsid w:val="009B7581"/>
    <w:rsid w:val="00A05420"/>
    <w:rsid w:val="00A427C4"/>
    <w:rsid w:val="00A81B86"/>
    <w:rsid w:val="00AD05B2"/>
    <w:rsid w:val="00AD17A4"/>
    <w:rsid w:val="00B728BD"/>
    <w:rsid w:val="00BA5214"/>
    <w:rsid w:val="00BD5C44"/>
    <w:rsid w:val="00C55340"/>
    <w:rsid w:val="00CC24FD"/>
    <w:rsid w:val="00CE577C"/>
    <w:rsid w:val="00DA5E08"/>
    <w:rsid w:val="00EC52B1"/>
    <w:rsid w:val="00F1290F"/>
    <w:rsid w:val="00FE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З_список"/>
    <w:basedOn w:val="a"/>
    <w:link w:val="a4"/>
    <w:qFormat/>
    <w:rsid w:val="002E5531"/>
    <w:pPr>
      <w:spacing w:after="0" w:line="360" w:lineRule="auto"/>
      <w:ind w:firstLine="357"/>
      <w:contextualSpacing/>
      <w:jc w:val="both"/>
    </w:pPr>
    <w:rPr>
      <w:rFonts w:ascii="Times New Roman" w:eastAsia="Times New Roman" w:hAnsi="Times New Roman" w:cs="Times New Roman"/>
      <w:kern w:val="22"/>
      <w:sz w:val="24"/>
      <w:szCs w:val="28"/>
      <w:lang w:eastAsia="ru-RU"/>
    </w:rPr>
  </w:style>
  <w:style w:type="character" w:customStyle="1" w:styleId="a4">
    <w:name w:val="АЗ_список Знак"/>
    <w:basedOn w:val="a0"/>
    <w:link w:val="a3"/>
    <w:rsid w:val="002E5531"/>
    <w:rPr>
      <w:rFonts w:ascii="Times New Roman" w:eastAsia="Times New Roman" w:hAnsi="Times New Roman" w:cs="Times New Roman"/>
      <w:kern w:val="22"/>
      <w:sz w:val="24"/>
      <w:szCs w:val="28"/>
      <w:lang w:eastAsia="ru-RU"/>
    </w:rPr>
  </w:style>
  <w:style w:type="paragraph" w:customStyle="1" w:styleId="a5">
    <w:name w:val="???????"/>
    <w:rsid w:val="00C55340"/>
    <w:pPr>
      <w:widowControl w:val="0"/>
      <w:autoSpaceDE w:val="0"/>
      <w:autoSpaceDN w:val="0"/>
      <w:spacing w:after="0" w:line="240" w:lineRule="auto"/>
    </w:pPr>
    <w:rPr>
      <w:rFonts w:ascii="NTTimes/Cyrillic" w:eastAsia="Times New Roman" w:hAnsi="NTTimes/Cyrillic" w:cs="Times New Roman"/>
      <w:sz w:val="20"/>
      <w:szCs w:val="20"/>
      <w:lang w:eastAsia="ru-RU"/>
    </w:rPr>
  </w:style>
  <w:style w:type="paragraph" w:customStyle="1" w:styleId="123">
    <w:name w:val="123_текст"/>
    <w:basedOn w:val="a"/>
    <w:link w:val="1230"/>
    <w:qFormat/>
    <w:rsid w:val="00C55340"/>
    <w:pPr>
      <w:spacing w:before="120" w:line="360" w:lineRule="auto"/>
      <w:ind w:firstLine="72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230">
    <w:name w:val="123_текст Знак"/>
    <w:basedOn w:val="a0"/>
    <w:link w:val="123"/>
    <w:rsid w:val="00C55340"/>
    <w:rPr>
      <w:rFonts w:ascii="Times New Roman" w:eastAsia="Calibri" w:hAnsi="Times New Roman" w:cs="Times New Roman"/>
      <w:sz w:val="24"/>
      <w:szCs w:val="24"/>
    </w:rPr>
  </w:style>
  <w:style w:type="paragraph" w:styleId="a6">
    <w:name w:val="Body Text Indent"/>
    <w:basedOn w:val="a"/>
    <w:link w:val="a7"/>
    <w:unhideWhenUsed/>
    <w:rsid w:val="001C7A93"/>
    <w:pPr>
      <w:widowControl w:val="0"/>
      <w:autoSpaceDE w:val="0"/>
      <w:autoSpaceDN w:val="0"/>
      <w:adjustRightInd w:val="0"/>
      <w:spacing w:after="0" w:line="240" w:lineRule="auto"/>
      <w:ind w:firstLine="3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1C7A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note text"/>
    <w:aliases w:val="Текст сноски Знак1 Знак,Текст сноски Знак Знак Знак,Footnote Text Char Знак Знак,Footnote Text Char Знак,F1,Текст сноски-FN,Oaeno niinee-FN,Oaeno niinee Ciae,Table_Footnote_last,Текст сноски Знак3,fn,single space,footnote text,FOOTNOTES,F"/>
    <w:basedOn w:val="a"/>
    <w:link w:val="a9"/>
    <w:uiPriority w:val="99"/>
    <w:unhideWhenUsed/>
    <w:qFormat/>
    <w:rsid w:val="00321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aliases w:val="Текст сноски Знак1 Знак Знак,Текст сноски Знак Знак Знак Знак,Footnote Text Char Знак Знак Знак,Footnote Text Char Знак Знак1,F1 Знак,Текст сноски-FN Знак,Oaeno niinee-FN Знак,Oaeno niinee Ciae Знак,Table_Footnote_last Знак,fn Знак"/>
    <w:basedOn w:val="a0"/>
    <w:link w:val="a8"/>
    <w:uiPriority w:val="99"/>
    <w:rsid w:val="003218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aliases w:val="Знак сноски 1,Знак сноски-FN,Ciae niinee-FN,Ciae niinee 1,ОР,Footnotes refss,Fussnota,Referencia nota al pie,fr,Used by Word for Help footnote symbols,SUPERS"/>
    <w:uiPriority w:val="99"/>
    <w:unhideWhenUsed/>
    <w:rsid w:val="003218FD"/>
    <w:rPr>
      <w:vertAlign w:val="superscript"/>
    </w:rPr>
  </w:style>
  <w:style w:type="character" w:styleId="ab">
    <w:name w:val="Hyperlink"/>
    <w:basedOn w:val="a0"/>
    <w:uiPriority w:val="99"/>
    <w:unhideWhenUsed/>
    <w:rsid w:val="003218F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3218FD"/>
  </w:style>
  <w:style w:type="character" w:styleId="ac">
    <w:name w:val="annotation reference"/>
    <w:basedOn w:val="a0"/>
    <w:uiPriority w:val="99"/>
    <w:semiHidden/>
    <w:unhideWhenUsed/>
    <w:rsid w:val="003218FD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3218FD"/>
    <w:pPr>
      <w:spacing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e">
    <w:name w:val="Текст примечания Знак"/>
    <w:basedOn w:val="a0"/>
    <w:link w:val="ad"/>
    <w:uiPriority w:val="99"/>
    <w:rsid w:val="003218FD"/>
    <w:rPr>
      <w:rFonts w:ascii="Calibri" w:eastAsia="Calibri" w:hAnsi="Calibri" w:cs="Times New Roman"/>
      <w:sz w:val="20"/>
      <w:szCs w:val="20"/>
      <w:lang w:val="en-US"/>
    </w:rPr>
  </w:style>
  <w:style w:type="paragraph" w:styleId="af">
    <w:name w:val="Balloon Text"/>
    <w:basedOn w:val="a"/>
    <w:link w:val="af0"/>
    <w:uiPriority w:val="99"/>
    <w:semiHidden/>
    <w:unhideWhenUsed/>
    <w:rsid w:val="00321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218FD"/>
    <w:rPr>
      <w:rFonts w:ascii="Tahoma" w:hAnsi="Tahoma" w:cs="Tahoma"/>
      <w:sz w:val="16"/>
      <w:szCs w:val="16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A81B86"/>
    <w:rPr>
      <w:rFonts w:asciiTheme="minorHAnsi" w:eastAsiaTheme="minorHAnsi" w:hAnsiTheme="minorHAnsi" w:cstheme="minorBidi"/>
      <w:b/>
      <w:bCs/>
      <w:lang w:val="ru-RU"/>
    </w:rPr>
  </w:style>
  <w:style w:type="character" w:customStyle="1" w:styleId="af2">
    <w:name w:val="Тема примечания Знак"/>
    <w:basedOn w:val="ae"/>
    <w:link w:val="af1"/>
    <w:uiPriority w:val="99"/>
    <w:semiHidden/>
    <w:rsid w:val="00A81B86"/>
    <w:rPr>
      <w:rFonts w:ascii="Calibri" w:eastAsia="Calibri" w:hAnsi="Calibri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З_список"/>
    <w:basedOn w:val="a"/>
    <w:link w:val="a4"/>
    <w:qFormat/>
    <w:rsid w:val="002E5531"/>
    <w:pPr>
      <w:spacing w:after="0" w:line="360" w:lineRule="auto"/>
      <w:ind w:firstLine="357"/>
      <w:contextualSpacing/>
      <w:jc w:val="both"/>
    </w:pPr>
    <w:rPr>
      <w:rFonts w:ascii="Times New Roman" w:eastAsia="Times New Roman" w:hAnsi="Times New Roman" w:cs="Times New Roman"/>
      <w:kern w:val="22"/>
      <w:sz w:val="24"/>
      <w:szCs w:val="28"/>
      <w:lang w:eastAsia="ru-RU"/>
    </w:rPr>
  </w:style>
  <w:style w:type="character" w:customStyle="1" w:styleId="a4">
    <w:name w:val="АЗ_список Знак"/>
    <w:basedOn w:val="a0"/>
    <w:link w:val="a3"/>
    <w:rsid w:val="002E5531"/>
    <w:rPr>
      <w:rFonts w:ascii="Times New Roman" w:eastAsia="Times New Roman" w:hAnsi="Times New Roman" w:cs="Times New Roman"/>
      <w:kern w:val="22"/>
      <w:sz w:val="24"/>
      <w:szCs w:val="28"/>
      <w:lang w:eastAsia="ru-RU"/>
    </w:rPr>
  </w:style>
  <w:style w:type="paragraph" w:customStyle="1" w:styleId="a5">
    <w:name w:val="???????"/>
    <w:rsid w:val="00C55340"/>
    <w:pPr>
      <w:widowControl w:val="0"/>
      <w:autoSpaceDE w:val="0"/>
      <w:autoSpaceDN w:val="0"/>
      <w:spacing w:after="0" w:line="240" w:lineRule="auto"/>
    </w:pPr>
    <w:rPr>
      <w:rFonts w:ascii="NTTimes/Cyrillic" w:eastAsia="Times New Roman" w:hAnsi="NTTimes/Cyrillic" w:cs="Times New Roman"/>
      <w:sz w:val="20"/>
      <w:szCs w:val="20"/>
      <w:lang w:eastAsia="ru-RU"/>
    </w:rPr>
  </w:style>
  <w:style w:type="paragraph" w:customStyle="1" w:styleId="123">
    <w:name w:val="123_текст"/>
    <w:basedOn w:val="a"/>
    <w:link w:val="1230"/>
    <w:qFormat/>
    <w:rsid w:val="00C55340"/>
    <w:pPr>
      <w:spacing w:before="120" w:line="360" w:lineRule="auto"/>
      <w:ind w:firstLine="72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230">
    <w:name w:val="123_текст Знак"/>
    <w:basedOn w:val="a0"/>
    <w:link w:val="123"/>
    <w:rsid w:val="00C55340"/>
    <w:rPr>
      <w:rFonts w:ascii="Times New Roman" w:eastAsia="Calibri" w:hAnsi="Times New Roman" w:cs="Times New Roman"/>
      <w:sz w:val="24"/>
      <w:szCs w:val="24"/>
    </w:rPr>
  </w:style>
  <w:style w:type="paragraph" w:styleId="a6">
    <w:name w:val="Body Text Indent"/>
    <w:basedOn w:val="a"/>
    <w:link w:val="a7"/>
    <w:unhideWhenUsed/>
    <w:rsid w:val="001C7A93"/>
    <w:pPr>
      <w:widowControl w:val="0"/>
      <w:autoSpaceDE w:val="0"/>
      <w:autoSpaceDN w:val="0"/>
      <w:adjustRightInd w:val="0"/>
      <w:spacing w:after="0" w:line="240" w:lineRule="auto"/>
      <w:ind w:firstLine="3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1C7A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note text"/>
    <w:aliases w:val="Текст сноски Знак1 Знак,Текст сноски Знак Знак Знак,Footnote Text Char Знак Знак,Footnote Text Char Знак,F1,Текст сноски-FN,Oaeno niinee-FN,Oaeno niinee Ciae,Table_Footnote_last,Текст сноски Знак3,fn,single space,footnote text,FOOTNOTES,F"/>
    <w:basedOn w:val="a"/>
    <w:link w:val="a9"/>
    <w:uiPriority w:val="99"/>
    <w:unhideWhenUsed/>
    <w:qFormat/>
    <w:rsid w:val="00321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aliases w:val="Текст сноски Знак1 Знак Знак,Текст сноски Знак Знак Знак Знак,Footnote Text Char Знак Знак Знак,Footnote Text Char Знак Знак1,F1 Знак,Текст сноски-FN Знак,Oaeno niinee-FN Знак,Oaeno niinee Ciae Знак,Table_Footnote_last Знак,fn Знак"/>
    <w:basedOn w:val="a0"/>
    <w:link w:val="a8"/>
    <w:uiPriority w:val="99"/>
    <w:rsid w:val="003218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aliases w:val="Знак сноски 1,Знак сноски-FN,Ciae niinee-FN,Ciae niinee 1,ОР,Footnotes refss,Fussnota,Referencia nota al pie,fr,Used by Word for Help footnote symbols,SUPERS"/>
    <w:uiPriority w:val="99"/>
    <w:unhideWhenUsed/>
    <w:rsid w:val="003218FD"/>
    <w:rPr>
      <w:vertAlign w:val="superscript"/>
    </w:rPr>
  </w:style>
  <w:style w:type="character" w:styleId="ab">
    <w:name w:val="Hyperlink"/>
    <w:basedOn w:val="a0"/>
    <w:uiPriority w:val="99"/>
    <w:unhideWhenUsed/>
    <w:rsid w:val="003218F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3218FD"/>
  </w:style>
  <w:style w:type="character" w:styleId="ac">
    <w:name w:val="annotation reference"/>
    <w:basedOn w:val="a0"/>
    <w:uiPriority w:val="99"/>
    <w:semiHidden/>
    <w:unhideWhenUsed/>
    <w:rsid w:val="003218FD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3218FD"/>
    <w:pPr>
      <w:spacing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e">
    <w:name w:val="Текст примечания Знак"/>
    <w:basedOn w:val="a0"/>
    <w:link w:val="ad"/>
    <w:uiPriority w:val="99"/>
    <w:rsid w:val="003218FD"/>
    <w:rPr>
      <w:rFonts w:ascii="Calibri" w:eastAsia="Calibri" w:hAnsi="Calibri" w:cs="Times New Roman"/>
      <w:sz w:val="20"/>
      <w:szCs w:val="20"/>
      <w:lang w:val="en-US"/>
    </w:rPr>
  </w:style>
  <w:style w:type="paragraph" w:styleId="af">
    <w:name w:val="Balloon Text"/>
    <w:basedOn w:val="a"/>
    <w:link w:val="af0"/>
    <w:uiPriority w:val="99"/>
    <w:semiHidden/>
    <w:unhideWhenUsed/>
    <w:rsid w:val="00321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218FD"/>
    <w:rPr>
      <w:rFonts w:ascii="Tahoma" w:hAnsi="Tahoma" w:cs="Tahoma"/>
      <w:sz w:val="16"/>
      <w:szCs w:val="16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A81B86"/>
    <w:rPr>
      <w:rFonts w:asciiTheme="minorHAnsi" w:eastAsiaTheme="minorHAnsi" w:hAnsiTheme="minorHAnsi" w:cstheme="minorBidi"/>
      <w:b/>
      <w:bCs/>
      <w:lang w:val="ru-RU"/>
    </w:rPr>
  </w:style>
  <w:style w:type="character" w:customStyle="1" w:styleId="af2">
    <w:name w:val="Тема примечания Знак"/>
    <w:basedOn w:val="ae"/>
    <w:link w:val="af1"/>
    <w:uiPriority w:val="99"/>
    <w:semiHidden/>
    <w:rsid w:val="00A81B86"/>
    <w:rPr>
      <w:rFonts w:ascii="Calibri" w:eastAsia="Calibri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29CB0-E373-4DF8-AAE7-3AF724A9C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1050</Words>
  <Characters>5987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7023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 Sinyavskaya</dc:creator>
  <cp:lastModifiedBy>Комарова Екатерина Александровна</cp:lastModifiedBy>
  <cp:revision>3</cp:revision>
  <dcterms:created xsi:type="dcterms:W3CDTF">2015-12-04T07:04:00Z</dcterms:created>
  <dcterms:modified xsi:type="dcterms:W3CDTF">2015-12-04T14:40:00Z</dcterms:modified>
</cp:coreProperties>
</file>